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8A" w:rsidRPr="001F5F8A" w:rsidRDefault="001F5F8A" w:rsidP="001F5F8A">
      <w:pPr>
        <w:widowControl/>
        <w:spacing w:before="100" w:beforeAutospacing="1" w:after="100" w:afterAutospacing="1"/>
        <w:jc w:val="center"/>
        <w:rPr>
          <w:rFonts w:ascii="宋体" w:eastAsia="宋体" w:hAnsi="宋体" w:cs="宋体"/>
          <w:kern w:val="0"/>
          <w:sz w:val="24"/>
          <w:szCs w:val="24"/>
        </w:rPr>
      </w:pPr>
      <w:r w:rsidRPr="001F5F8A">
        <w:rPr>
          <w:rFonts w:ascii="黑体" w:eastAsia="黑体" w:hAnsi="黑体" w:cs="宋体" w:hint="eastAsia"/>
          <w:b/>
          <w:bCs/>
          <w:color w:val="FF0000"/>
          <w:kern w:val="0"/>
          <w:sz w:val="36"/>
          <w:szCs w:val="36"/>
        </w:rPr>
        <w:t xml:space="preserve">中国证监会行政处罚决定书（颜玲明） </w:t>
      </w:r>
      <w:r w:rsidRPr="001F5F8A">
        <w:rPr>
          <w:rFonts w:ascii="宋体" w:eastAsia="宋体" w:hAnsi="宋体" w:cs="宋体"/>
          <w:kern w:val="0"/>
          <w:sz w:val="24"/>
          <w:szCs w:val="24"/>
        </w:rPr>
        <w:br/>
      </w:r>
      <w:r w:rsidRPr="001F5F8A">
        <w:rPr>
          <w:rFonts w:ascii="宋体" w:eastAsia="宋体" w:hAnsi="宋体" w:cs="宋体"/>
          <w:kern w:val="0"/>
          <w:sz w:val="24"/>
          <w:szCs w:val="24"/>
        </w:rPr>
        <w:br/>
      </w:r>
    </w:p>
    <w:p w:rsidR="001F5F8A" w:rsidRPr="001F5F8A" w:rsidRDefault="001F5F8A" w:rsidP="001F5F8A">
      <w:pPr>
        <w:widowControl/>
        <w:wordWrap w:val="0"/>
        <w:spacing w:line="360" w:lineRule="auto"/>
        <w:jc w:val="center"/>
        <w:rPr>
          <w:rFonts w:ascii="宋体" w:eastAsia="宋体" w:hAnsi="宋体" w:cs="宋体"/>
          <w:kern w:val="0"/>
          <w:szCs w:val="21"/>
        </w:rPr>
      </w:pPr>
      <w:r w:rsidRPr="001F5F8A">
        <w:rPr>
          <w:rFonts w:ascii="宋体" w:eastAsia="宋体" w:hAnsi="宋体" w:cs="宋体" w:hint="eastAsia"/>
          <w:kern w:val="0"/>
          <w:szCs w:val="21"/>
        </w:rPr>
        <w:t>〔2016〕79 号</w:t>
      </w:r>
    </w:p>
    <w:p w:rsidR="001F5F8A" w:rsidRPr="001F5F8A" w:rsidRDefault="001F5F8A" w:rsidP="001F5F8A">
      <w:pPr>
        <w:widowControl/>
        <w:wordWrap w:val="0"/>
        <w:spacing w:line="360" w:lineRule="auto"/>
        <w:jc w:val="center"/>
        <w:rPr>
          <w:rFonts w:ascii="宋体" w:eastAsia="宋体" w:hAnsi="宋体" w:cs="宋体" w:hint="eastAsia"/>
          <w:kern w:val="0"/>
          <w:szCs w:val="21"/>
        </w:rPr>
      </w:pPr>
    </w:p>
    <w:p w:rsidR="001F5F8A" w:rsidRPr="001F5F8A" w:rsidRDefault="001F5F8A" w:rsidP="001F5F8A">
      <w:pPr>
        <w:widowControl/>
        <w:wordWrap w:val="0"/>
        <w:snapToGrid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当事人：颜玲明，男，1963年9月出生，住址：浙江省温岭市。</w:t>
      </w:r>
    </w:p>
    <w:p w:rsidR="001F5F8A" w:rsidRPr="001F5F8A" w:rsidRDefault="001F5F8A" w:rsidP="001F5F8A">
      <w:pPr>
        <w:widowControl/>
        <w:wordWrap w:val="0"/>
        <w:snapToGrid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依据《中华人民共和国证券法》（以下简称《证券法》）的有关规定，我会对颜玲明内幕交易行为进行了立案调查、审理，依法向当事人告知了</w:t>
      </w:r>
      <w:proofErr w:type="gramStart"/>
      <w:r w:rsidRPr="001F5F8A">
        <w:rPr>
          <w:rFonts w:ascii="宋体" w:eastAsia="宋体" w:hAnsi="宋体" w:cs="宋体" w:hint="eastAsia"/>
          <w:kern w:val="0"/>
          <w:szCs w:val="21"/>
        </w:rPr>
        <w:t>作出</w:t>
      </w:r>
      <w:proofErr w:type="gramEnd"/>
      <w:r w:rsidRPr="001F5F8A">
        <w:rPr>
          <w:rFonts w:ascii="宋体" w:eastAsia="宋体" w:hAnsi="宋体" w:cs="宋体" w:hint="eastAsia"/>
          <w:kern w:val="0"/>
          <w:szCs w:val="21"/>
        </w:rPr>
        <w:t xml:space="preserve">行政处罚的事实、理由、依据及当事人依法享有的权利。当事人提交了书面陈述申辩材料，未要求听证。本案现已调查、审理终结。 </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经查明，颜玲明存在以下违法事实：</w:t>
      </w:r>
    </w:p>
    <w:p w:rsidR="001F5F8A" w:rsidRPr="001F5F8A" w:rsidRDefault="001F5F8A" w:rsidP="001F5F8A">
      <w:pPr>
        <w:widowControl/>
        <w:wordWrap w:val="0"/>
        <w:spacing w:line="360" w:lineRule="auto"/>
        <w:ind w:firstLine="420"/>
        <w:rPr>
          <w:rFonts w:ascii="宋体" w:eastAsia="宋体" w:hAnsi="宋体" w:cs="宋体" w:hint="eastAsia"/>
          <w:color w:val="000000"/>
          <w:kern w:val="0"/>
          <w:szCs w:val="21"/>
        </w:rPr>
      </w:pPr>
      <w:r w:rsidRPr="001F5F8A">
        <w:rPr>
          <w:rFonts w:ascii="宋体" w:eastAsia="宋体" w:hAnsi="宋体" w:cs="宋体" w:hint="eastAsia"/>
          <w:color w:val="000000"/>
          <w:kern w:val="0"/>
          <w:szCs w:val="21"/>
        </w:rPr>
        <w:t>一、内幕信息的形成和公开过程</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2013年9月中下旬，中国民族证券有限责任公司（以下简称民族证券）钱某陪同上海漫酷广告有限公司（以下简称上海漫酷）</w:t>
      </w:r>
      <w:proofErr w:type="gramStart"/>
      <w:r w:rsidRPr="001F5F8A">
        <w:rPr>
          <w:rFonts w:ascii="宋体" w:eastAsia="宋体" w:hAnsi="宋体" w:cs="宋体" w:hint="eastAsia"/>
          <w:kern w:val="0"/>
          <w:szCs w:val="21"/>
        </w:rPr>
        <w:t>郑某东到</w:t>
      </w:r>
      <w:proofErr w:type="gramEnd"/>
      <w:r w:rsidRPr="001F5F8A">
        <w:rPr>
          <w:rFonts w:ascii="宋体" w:eastAsia="宋体" w:hAnsi="宋体" w:cs="宋体" w:hint="eastAsia"/>
          <w:kern w:val="0"/>
          <w:szCs w:val="21"/>
        </w:rPr>
        <w:t>上海与利欧集团股份有限公司（以下简称利欧股份）董事长王某荣、</w:t>
      </w:r>
      <w:proofErr w:type="gramStart"/>
      <w:r w:rsidRPr="001F5F8A">
        <w:rPr>
          <w:rFonts w:ascii="宋体" w:eastAsia="宋体" w:hAnsi="宋体" w:cs="宋体" w:hint="eastAsia"/>
          <w:kern w:val="0"/>
          <w:szCs w:val="21"/>
        </w:rPr>
        <w:t>董秘张某波</w:t>
      </w:r>
      <w:proofErr w:type="gramEnd"/>
      <w:r w:rsidRPr="001F5F8A">
        <w:rPr>
          <w:rFonts w:ascii="宋体" w:eastAsia="宋体" w:hAnsi="宋体" w:cs="宋体" w:hint="eastAsia"/>
          <w:kern w:val="0"/>
          <w:szCs w:val="21"/>
        </w:rPr>
        <w:t>见面，双方互相表达了利欧股份收购上海漫酷的合作意愿。</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2013年10月15日，利欧股份和上海漫酷确认了进一步接触意向，同时利欧股份决定</w:t>
      </w:r>
      <w:proofErr w:type="gramStart"/>
      <w:r w:rsidRPr="001F5F8A">
        <w:rPr>
          <w:rFonts w:ascii="宋体" w:eastAsia="宋体" w:hAnsi="宋体" w:cs="宋体" w:hint="eastAsia"/>
          <w:kern w:val="0"/>
          <w:szCs w:val="21"/>
        </w:rPr>
        <w:t>请民族</w:t>
      </w:r>
      <w:proofErr w:type="gramEnd"/>
      <w:r w:rsidRPr="001F5F8A">
        <w:rPr>
          <w:rFonts w:ascii="宋体" w:eastAsia="宋体" w:hAnsi="宋体" w:cs="宋体" w:hint="eastAsia"/>
          <w:kern w:val="0"/>
          <w:szCs w:val="21"/>
        </w:rPr>
        <w:t>证券、</w:t>
      </w:r>
      <w:proofErr w:type="gramStart"/>
      <w:r w:rsidRPr="001F5F8A">
        <w:rPr>
          <w:rFonts w:ascii="宋体" w:eastAsia="宋体" w:hAnsi="宋体" w:cs="宋体" w:hint="eastAsia"/>
          <w:kern w:val="0"/>
          <w:szCs w:val="21"/>
        </w:rPr>
        <w:t>天册律师</w:t>
      </w:r>
      <w:proofErr w:type="gramEnd"/>
      <w:r w:rsidRPr="001F5F8A">
        <w:rPr>
          <w:rFonts w:ascii="宋体" w:eastAsia="宋体" w:hAnsi="宋体" w:cs="宋体" w:hint="eastAsia"/>
          <w:kern w:val="0"/>
          <w:szCs w:val="21"/>
        </w:rPr>
        <w:t>事务所分别担任财务顾问和法律顾问。10月中下旬至11月底，民族证券退出该项目，</w:t>
      </w:r>
      <w:proofErr w:type="gramStart"/>
      <w:r w:rsidRPr="001F5F8A">
        <w:rPr>
          <w:rFonts w:ascii="宋体" w:eastAsia="宋体" w:hAnsi="宋体" w:cs="宋体" w:hint="eastAsia"/>
          <w:kern w:val="0"/>
          <w:szCs w:val="21"/>
        </w:rPr>
        <w:t>天册律师</w:t>
      </w:r>
      <w:proofErr w:type="gramEnd"/>
      <w:r w:rsidRPr="001F5F8A">
        <w:rPr>
          <w:rFonts w:ascii="宋体" w:eastAsia="宋体" w:hAnsi="宋体" w:cs="宋体" w:hint="eastAsia"/>
          <w:kern w:val="0"/>
          <w:szCs w:val="21"/>
        </w:rPr>
        <w:t>事务所继续进行尽职调查，</w:t>
      </w:r>
      <w:proofErr w:type="gramStart"/>
      <w:r w:rsidRPr="001F5F8A">
        <w:rPr>
          <w:rFonts w:ascii="宋体" w:eastAsia="宋体" w:hAnsi="宋体" w:cs="宋体" w:hint="eastAsia"/>
          <w:kern w:val="0"/>
          <w:szCs w:val="21"/>
        </w:rPr>
        <w:t>张某波向</w:t>
      </w:r>
      <w:proofErr w:type="gramEnd"/>
      <w:r w:rsidRPr="001F5F8A">
        <w:rPr>
          <w:rFonts w:ascii="宋体" w:eastAsia="宋体" w:hAnsi="宋体" w:cs="宋体" w:hint="eastAsia"/>
          <w:kern w:val="0"/>
          <w:szCs w:val="21"/>
        </w:rPr>
        <w:t>王某荣汇报尽职调查结果后，王某荣指示继续推进。11月下旬利欧股份与上海漫</w:t>
      </w:r>
      <w:proofErr w:type="gramStart"/>
      <w:r w:rsidRPr="001F5F8A">
        <w:rPr>
          <w:rFonts w:ascii="宋体" w:eastAsia="宋体" w:hAnsi="宋体" w:cs="宋体" w:hint="eastAsia"/>
          <w:kern w:val="0"/>
          <w:szCs w:val="21"/>
        </w:rPr>
        <w:t>酷讨论</w:t>
      </w:r>
      <w:proofErr w:type="gramEnd"/>
      <w:r w:rsidRPr="001F5F8A">
        <w:rPr>
          <w:rFonts w:ascii="宋体" w:eastAsia="宋体" w:hAnsi="宋体" w:cs="宋体" w:hint="eastAsia"/>
          <w:kern w:val="0"/>
          <w:szCs w:val="21"/>
        </w:rPr>
        <w:t>交易条款。11月底，</w:t>
      </w:r>
      <w:proofErr w:type="gramStart"/>
      <w:r w:rsidRPr="001F5F8A">
        <w:rPr>
          <w:rFonts w:ascii="宋体" w:eastAsia="宋体" w:hAnsi="宋体" w:cs="宋体" w:hint="eastAsia"/>
          <w:kern w:val="0"/>
          <w:szCs w:val="21"/>
        </w:rPr>
        <w:t>张某波将</w:t>
      </w:r>
      <w:proofErr w:type="gramEnd"/>
      <w:r w:rsidRPr="001F5F8A">
        <w:rPr>
          <w:rFonts w:ascii="宋体" w:eastAsia="宋体" w:hAnsi="宋体" w:cs="宋体" w:hint="eastAsia"/>
          <w:kern w:val="0"/>
          <w:szCs w:val="21"/>
        </w:rPr>
        <w:t>利欧股份和上海漫</w:t>
      </w:r>
      <w:proofErr w:type="gramStart"/>
      <w:r w:rsidRPr="001F5F8A">
        <w:rPr>
          <w:rFonts w:ascii="宋体" w:eastAsia="宋体" w:hAnsi="宋体" w:cs="宋体" w:hint="eastAsia"/>
          <w:kern w:val="0"/>
          <w:szCs w:val="21"/>
        </w:rPr>
        <w:t>酷双方</w:t>
      </w:r>
      <w:proofErr w:type="gramEnd"/>
      <w:r w:rsidRPr="001F5F8A">
        <w:rPr>
          <w:rFonts w:ascii="宋体" w:eastAsia="宋体" w:hAnsi="宋体" w:cs="宋体" w:hint="eastAsia"/>
          <w:kern w:val="0"/>
          <w:szCs w:val="21"/>
        </w:rPr>
        <w:t>股东之间交易架构的书面文件发送郑某东。12月中旬至2014年1月底，坤元资产评估事务所派人对上海漫</w:t>
      </w:r>
      <w:proofErr w:type="gramStart"/>
      <w:r w:rsidRPr="001F5F8A">
        <w:rPr>
          <w:rFonts w:ascii="宋体" w:eastAsia="宋体" w:hAnsi="宋体" w:cs="宋体" w:hint="eastAsia"/>
          <w:kern w:val="0"/>
          <w:szCs w:val="21"/>
        </w:rPr>
        <w:t>酷进行</w:t>
      </w:r>
      <w:proofErr w:type="gramEnd"/>
      <w:r w:rsidRPr="001F5F8A">
        <w:rPr>
          <w:rFonts w:ascii="宋体" w:eastAsia="宋体" w:hAnsi="宋体" w:cs="宋体" w:hint="eastAsia"/>
          <w:kern w:val="0"/>
          <w:szCs w:val="21"/>
        </w:rPr>
        <w:t>了现场评估。2013年12月中下旬，王某荣、张某波首次会见上海漫酷的全体股东，双方均表示了继续推进项目的意向。</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2014年1月中旬，上海漫酷外方投资机构初步同意股权出售事宜。2月7日利欧股份向深交所提交停牌申请。2月10日利欧股份发布正在筹划资产收购事宜的停牌公告。3月14日利欧股份召开第三届董事会第三十二次会议，审议通过了《关于收购上海漫酷广告有限公司85%股权的议案》。3月17日利欧股份发布《第三届董事会第三十二次会议决议公告》、《关于收购上海漫酷广告有限公司85%股权及复牌的公告》，同日公司股票复牌交易。</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利欧股份于2014年2月10日发布停牌公告“筹划资产收购事宜”、2014年3月17日复牌公告“利欧股份收购上海漫酷85%股权”，该事项属于《证券法》第六十七条第二款第</w:t>
      </w:r>
      <w:r w:rsidRPr="001F5F8A">
        <w:rPr>
          <w:rFonts w:ascii="宋体" w:eastAsia="宋体" w:hAnsi="宋体" w:cs="宋体" w:hint="eastAsia"/>
          <w:kern w:val="0"/>
          <w:szCs w:val="21"/>
        </w:rPr>
        <w:lastRenderedPageBreak/>
        <w:t>（二）项所述“公司的重大投资行为和重大的购置财产的决定”，构成内幕信息。内幕信息敏感期为2013年9月30日至2014年2月10日。王某荣为利欧股份董事长，决策收购事项，为内幕信息知情人。</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二、颜玲明内幕信息敏感期内交易“利欧股份”的情况</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颜玲明与王某荣关系密切，2013年10月15日至2014年2月10日期间两人频繁联系，其中2013年12月1日、12月2日通话达6次。</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在内幕信息敏感期内，颜玲明控制使用7个账户共计买入“利欧股份”1,424,343股，买入金额17,939,449元，截至2014年3月17日复牌当日，合计剩余256,226股，共计获利4,550,512.81元。具体情况如下：</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1.“颜某娥”账户。2013年12月2日、12月3日，颜玲明分别向颜某娥三方存管银行账户转入250万元、100万元，并转入证券端。2013年12月2日至12月5日累计买入“利欧股份”289,200股，买入金额3,504,293元。2013年12月30日至2014年2月7日累计卖出“利欧股份”280,333股，卖出金额4,069,793.81 元。截至2014年3月17日复牌首日，该账户剩余“利欧股份”8,867股，获利711,939.91元。</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2.“颜某娟”账户。2013年12月2日、12月3日，颜玲明分别向颜某娟三方存管银行账户转入100万元、200万元，并全部转入证券端，2013年12月2日至12月12日累计买入“利欧股份”187,100股，买入金额2,332,474.88 元。2014年1月9日至2月7日累计卖出154,698股，卖出金额2,524,310.20 元。截至2014年3月17日复牌首日，该账户剩余“利欧股份”32,402股，获利747,348.66元。</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3.“王某领”账户。2013年12月10日、12月11日，颜玲明分别向</w:t>
      </w:r>
      <w:proofErr w:type="gramStart"/>
      <w:r w:rsidRPr="001F5F8A">
        <w:rPr>
          <w:rFonts w:ascii="宋体" w:eastAsia="宋体" w:hAnsi="宋体" w:cs="宋体" w:hint="eastAsia"/>
          <w:kern w:val="0"/>
          <w:szCs w:val="21"/>
        </w:rPr>
        <w:t>王某领三</w:t>
      </w:r>
      <w:proofErr w:type="gramEnd"/>
      <w:r w:rsidRPr="001F5F8A">
        <w:rPr>
          <w:rFonts w:ascii="宋体" w:eastAsia="宋体" w:hAnsi="宋体" w:cs="宋体" w:hint="eastAsia"/>
          <w:kern w:val="0"/>
          <w:szCs w:val="21"/>
        </w:rPr>
        <w:t>方存管银行账户转入46万元、200万元。2013年12月10日至12月13日累计买入“利欧股份”192,800股，买入金额2,455,972元。2014年2月7日卖出139,990股，卖出金额2,347,766元。截至2014年3月17日复牌首日，该账户剩余“利欧股份”52,810股，获利795,676.71元。</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4.“颜某福”账户。2013年12月13日，颜玲明</w:t>
      </w:r>
      <w:proofErr w:type="gramStart"/>
      <w:r w:rsidRPr="001F5F8A">
        <w:rPr>
          <w:rFonts w:ascii="宋体" w:eastAsia="宋体" w:hAnsi="宋体" w:cs="宋体" w:hint="eastAsia"/>
          <w:kern w:val="0"/>
          <w:szCs w:val="21"/>
        </w:rPr>
        <w:t>向颜某福</w:t>
      </w:r>
      <w:proofErr w:type="gramEnd"/>
      <w:r w:rsidRPr="001F5F8A">
        <w:rPr>
          <w:rFonts w:ascii="宋体" w:eastAsia="宋体" w:hAnsi="宋体" w:cs="宋体" w:hint="eastAsia"/>
          <w:kern w:val="0"/>
          <w:szCs w:val="21"/>
        </w:rPr>
        <w:t>三方存管银行账户转入290万元。2013年12月13日至12月19日累计买入“利欧股份”225,005股，买入金额2,831,476.94 元。2014年1月8日、2月7日累计卖出225,005股，卖出金额3,427,368.33 元。截至2014年3月17日复牌首日，该账户无余股，获利583,075.75元。</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5.“林某青”账户。2013年12月18日、12月19日，颜玲明分别向林</w:t>
      </w:r>
      <w:proofErr w:type="gramStart"/>
      <w:r w:rsidRPr="001F5F8A">
        <w:rPr>
          <w:rFonts w:ascii="宋体" w:eastAsia="宋体" w:hAnsi="宋体" w:cs="宋体" w:hint="eastAsia"/>
          <w:kern w:val="0"/>
          <w:szCs w:val="21"/>
        </w:rPr>
        <w:t>某青三</w:t>
      </w:r>
      <w:proofErr w:type="gramEnd"/>
      <w:r w:rsidRPr="001F5F8A">
        <w:rPr>
          <w:rFonts w:ascii="宋体" w:eastAsia="宋体" w:hAnsi="宋体" w:cs="宋体" w:hint="eastAsia"/>
          <w:kern w:val="0"/>
          <w:szCs w:val="21"/>
        </w:rPr>
        <w:t>方存管银行账户转入100万元、150万元，并转入证券端。2013年12月18日至12月19日累计买入</w:t>
      </w:r>
      <w:r w:rsidRPr="001F5F8A">
        <w:rPr>
          <w:rFonts w:ascii="宋体" w:eastAsia="宋体" w:hAnsi="宋体" w:cs="宋体" w:hint="eastAsia"/>
          <w:kern w:val="0"/>
          <w:szCs w:val="21"/>
        </w:rPr>
        <w:lastRenderedPageBreak/>
        <w:t xml:space="preserve"> “利欧股份”193,538股，买入金额2,496,721.18 元。2014年2月7日卖出114,700股，卖出金额1,934,238元。2014年3月19日至3月20日累计卖出141,300股，卖出金额2,803,077元。截至2014年3月17日复牌首日，该账户剩余“利欧股份”78,838股，获利792,569.44元。</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6.“颜某生”账户。2013年12月19日、12月20日，颜玲明</w:t>
      </w:r>
      <w:proofErr w:type="gramStart"/>
      <w:r w:rsidRPr="001F5F8A">
        <w:rPr>
          <w:rFonts w:ascii="宋体" w:eastAsia="宋体" w:hAnsi="宋体" w:cs="宋体" w:hint="eastAsia"/>
          <w:kern w:val="0"/>
          <w:szCs w:val="21"/>
        </w:rPr>
        <w:t>分别向颜某</w:t>
      </w:r>
      <w:proofErr w:type="gramEnd"/>
      <w:r w:rsidRPr="001F5F8A">
        <w:rPr>
          <w:rFonts w:ascii="宋体" w:eastAsia="宋体" w:hAnsi="宋体" w:cs="宋体" w:hint="eastAsia"/>
          <w:kern w:val="0"/>
          <w:szCs w:val="21"/>
        </w:rPr>
        <w:t>生三方存管银行账户转入82万元、150万元，并转入证券端。2013年12月19日至12月23日累计买入“利欧股份”180,200 股,买入金额2,305,931元。2014年1月8日至2月7日累计卖出180,200股，卖出金额2,755,305.27 元。截至2014年3月17日复牌首日，该账户无余股，获利439,027.11元。</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7.“颜某”账户。2013年12月24日、12月25日，颜玲明</w:t>
      </w:r>
      <w:proofErr w:type="gramStart"/>
      <w:r w:rsidRPr="001F5F8A">
        <w:rPr>
          <w:rFonts w:ascii="宋体" w:eastAsia="宋体" w:hAnsi="宋体" w:cs="宋体" w:hint="eastAsia"/>
          <w:kern w:val="0"/>
          <w:szCs w:val="21"/>
        </w:rPr>
        <w:t>分别向颜某</w:t>
      </w:r>
      <w:proofErr w:type="gramEnd"/>
      <w:r w:rsidRPr="001F5F8A">
        <w:rPr>
          <w:rFonts w:ascii="宋体" w:eastAsia="宋体" w:hAnsi="宋体" w:cs="宋体" w:hint="eastAsia"/>
          <w:kern w:val="0"/>
          <w:szCs w:val="21"/>
        </w:rPr>
        <w:t>三方存管银行账户转入150万元、50万元。2013年12月24日至12月30日累计买入“利欧股份”156,500股，买入金额2,012,580元。2014年1月6日卖出73,191股，卖出金额1,052,727.44元。截至2014年3月17日复牌首日，该账户剩余“利欧股份”83,309 股，获利480,875.23元。</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2013年11月底，利欧股份和上海漫</w:t>
      </w:r>
      <w:proofErr w:type="gramStart"/>
      <w:r w:rsidRPr="001F5F8A">
        <w:rPr>
          <w:rFonts w:ascii="宋体" w:eastAsia="宋体" w:hAnsi="宋体" w:cs="宋体" w:hint="eastAsia"/>
          <w:kern w:val="0"/>
          <w:szCs w:val="21"/>
        </w:rPr>
        <w:t>酷双方</w:t>
      </w:r>
      <w:proofErr w:type="gramEnd"/>
      <w:r w:rsidRPr="001F5F8A">
        <w:rPr>
          <w:rFonts w:ascii="宋体" w:eastAsia="宋体" w:hAnsi="宋体" w:cs="宋体" w:hint="eastAsia"/>
          <w:kern w:val="0"/>
          <w:szCs w:val="21"/>
        </w:rPr>
        <w:t>股东之间交易架构相对成型，颜玲明控制的“颜某娥”等7个账户自2013年12月2日起单向、集中、大量买入“利欧股份”，交易量明显大于日常交易，2013年12月2日至12月30日期间，除“颜某娟”账户少量买入“双环传动”外，其余全部资金都用于买入“利欧股份”，交易时点与内幕信息形成时间高度吻合，交易行为与利欧股份公司基本面背离度高。7个账户中的“林某青”、“颜某福”、“王某领”、“颜某生”4个账户，在2013年12月首次买入“利欧股份”股票前，未有任何股票买卖。</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以上事实，有利</w:t>
      </w:r>
      <w:proofErr w:type="gramStart"/>
      <w:r w:rsidRPr="001F5F8A">
        <w:rPr>
          <w:rFonts w:ascii="宋体" w:eastAsia="宋体" w:hAnsi="宋体" w:cs="宋体" w:hint="eastAsia"/>
          <w:kern w:val="0"/>
          <w:szCs w:val="21"/>
        </w:rPr>
        <w:t>欧股份</w:t>
      </w:r>
      <w:proofErr w:type="gramEnd"/>
      <w:r w:rsidRPr="001F5F8A">
        <w:rPr>
          <w:rFonts w:ascii="宋体" w:eastAsia="宋体" w:hAnsi="宋体" w:cs="宋体" w:hint="eastAsia"/>
          <w:kern w:val="0"/>
          <w:szCs w:val="21"/>
        </w:rPr>
        <w:t>公告、利欧股份提供的相关材料、相关人员询问笔录、当事人交易记录、电子证据、通话记录等证据证明，足以认定。</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颜玲明与内幕信息知情人王某荣关系密切，在内幕信息敏感期内二人存在频繁联系,与交易时间、内幕信息形成时间高度吻合，交易“利欧股份”行为明显异常。颜玲明的上述行为违反了《证券法》第七十三条、第七十六条的规定，构成《证券法》第二百零二条所述内幕交易行为。</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颜玲明提出如下申辩意见：1.当事人在敏感期内买入、卖出“利欧股份”不应认定为内幕交易。对其内幕交易定性和数量的认定有欠妥当。2.当事人买入“利欧股份”是价值投资，没有知悉和利用内幕信息。3.用于买卖股票账户的持有人互为亲戚关系，股票投资的资金由</w:t>
      </w:r>
      <w:r w:rsidRPr="001F5F8A">
        <w:rPr>
          <w:rFonts w:ascii="宋体" w:eastAsia="宋体" w:hAnsi="宋体" w:cs="宋体" w:hint="eastAsia"/>
          <w:kern w:val="0"/>
          <w:szCs w:val="21"/>
        </w:rPr>
        <w:lastRenderedPageBreak/>
        <w:t>明华公司3个股东共同提供。4.交易“利欧股份”的时点与利欧股份和上海漫</w:t>
      </w:r>
      <w:proofErr w:type="gramStart"/>
      <w:r w:rsidRPr="001F5F8A">
        <w:rPr>
          <w:rFonts w:ascii="宋体" w:eastAsia="宋体" w:hAnsi="宋体" w:cs="宋体" w:hint="eastAsia"/>
          <w:kern w:val="0"/>
          <w:szCs w:val="21"/>
        </w:rPr>
        <w:t>酷交易</w:t>
      </w:r>
      <w:proofErr w:type="gramEnd"/>
      <w:r w:rsidRPr="001F5F8A">
        <w:rPr>
          <w:rFonts w:ascii="宋体" w:eastAsia="宋体" w:hAnsi="宋体" w:cs="宋体" w:hint="eastAsia"/>
          <w:kern w:val="0"/>
          <w:szCs w:val="21"/>
        </w:rPr>
        <w:t>架构形成时点不吻合。5.交易行为并不异常。购买“利欧股份”规模不大，且未将手头的闲置资金全部用于购买“利欧股份”股票。</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我会认为：1.颜玲明与王某荣之间关系密切，存在联系时间与买入“利欧股份”时间高度吻合、临时激活部分账户交易“利欧股份”等异常情况，颜玲明对交易“利欧股份”亦不能做出合理解释。2.现有证据能够证明颜玲明控制涉案7个账户，对其所提3个股东共同出资的说法并未提交证据证明，不予采信。3.由于颜玲明利用内幕信息买入“利欧股份”的违法行为已经发生，因此其在内幕信息公开前反向交易的获利均应认定为违法所得。综上，当事人相关申辩意见不予采纳。</w:t>
      </w:r>
    </w:p>
    <w:p w:rsidR="001F5F8A" w:rsidRPr="001F5F8A" w:rsidRDefault="001F5F8A" w:rsidP="001F5F8A">
      <w:pPr>
        <w:widowControl/>
        <w:wordWrap w:val="0"/>
        <w:spacing w:line="360" w:lineRule="auto"/>
        <w:ind w:firstLine="420"/>
        <w:rPr>
          <w:rFonts w:ascii="宋体" w:eastAsia="宋体" w:hAnsi="宋体" w:cs="宋体" w:hint="eastAsia"/>
          <w:color w:val="000000"/>
          <w:kern w:val="0"/>
          <w:szCs w:val="21"/>
        </w:rPr>
      </w:pPr>
      <w:r w:rsidRPr="001F5F8A">
        <w:rPr>
          <w:rFonts w:ascii="宋体" w:eastAsia="宋体" w:hAnsi="宋体" w:cs="宋体" w:hint="eastAsia"/>
          <w:color w:val="000000"/>
          <w:kern w:val="0"/>
          <w:szCs w:val="21"/>
        </w:rPr>
        <w:t>根据当事人违法行为的事实、性质、情节与社会危害程度，依据《证券法》第二百零二条的规定，我会决定：没收颜玲明违法所得</w:t>
      </w:r>
      <w:r w:rsidRPr="001F5F8A">
        <w:rPr>
          <w:rFonts w:ascii="宋体" w:eastAsia="宋体" w:hAnsi="宋体" w:cs="宋体" w:hint="eastAsia"/>
          <w:kern w:val="0"/>
          <w:szCs w:val="21"/>
        </w:rPr>
        <w:t>4,550,512.81</w:t>
      </w:r>
      <w:r w:rsidRPr="001F5F8A">
        <w:rPr>
          <w:rFonts w:ascii="宋体" w:eastAsia="宋体" w:hAnsi="宋体" w:cs="宋体" w:hint="eastAsia"/>
          <w:color w:val="000000"/>
          <w:kern w:val="0"/>
          <w:szCs w:val="21"/>
        </w:rPr>
        <w:t>元，并处以</w:t>
      </w:r>
      <w:r w:rsidRPr="001F5F8A">
        <w:rPr>
          <w:rFonts w:ascii="宋体" w:eastAsia="宋体" w:hAnsi="宋体" w:cs="宋体" w:hint="eastAsia"/>
          <w:kern w:val="0"/>
          <w:szCs w:val="21"/>
        </w:rPr>
        <w:t>13,651,538.43</w:t>
      </w:r>
      <w:r w:rsidRPr="001F5F8A">
        <w:rPr>
          <w:rFonts w:ascii="宋体" w:eastAsia="宋体" w:hAnsi="宋体" w:cs="宋体" w:hint="eastAsia"/>
          <w:color w:val="000000"/>
          <w:kern w:val="0"/>
          <w:szCs w:val="21"/>
        </w:rPr>
        <w:t>元罚款。</w:t>
      </w:r>
    </w:p>
    <w:p w:rsidR="001F5F8A" w:rsidRPr="001F5F8A" w:rsidRDefault="001F5F8A" w:rsidP="001F5F8A">
      <w:pPr>
        <w:widowControl/>
        <w:wordWrap w:val="0"/>
        <w:spacing w:line="360" w:lineRule="auto"/>
        <w:ind w:firstLine="420"/>
        <w:rPr>
          <w:rFonts w:ascii="宋体" w:eastAsia="宋体" w:hAnsi="宋体" w:cs="宋体" w:hint="eastAsia"/>
          <w:color w:val="000000"/>
          <w:kern w:val="0"/>
          <w:szCs w:val="21"/>
        </w:rPr>
      </w:pPr>
      <w:r w:rsidRPr="001F5F8A">
        <w:rPr>
          <w:rFonts w:ascii="宋体" w:eastAsia="宋体" w:hAnsi="宋体" w:cs="宋体" w:hint="eastAsia"/>
          <w:color w:val="000000"/>
          <w:kern w:val="0"/>
          <w:szCs w:val="21"/>
        </w:rPr>
        <w:t>上述当事人应自收到本处罚决定书之日起15日内，将罚没款汇交中国证券监督管理委员会（开户银行：中信银行总行营业部，账号：7111010189800000162，由该行直接上缴国库），并将注有当事人名称的付款凭证复印件送中国证券监督管理委员会稽查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p>
    <w:p w:rsidR="001F5F8A" w:rsidRPr="001F5F8A" w:rsidRDefault="001F5F8A" w:rsidP="001F5F8A">
      <w:pPr>
        <w:widowControl/>
        <w:wordWrap w:val="0"/>
        <w:spacing w:line="360" w:lineRule="auto"/>
        <w:ind w:firstLine="420"/>
        <w:rPr>
          <w:rFonts w:ascii="楷体" w:eastAsia="楷体" w:hAnsi="楷体" w:cs="宋体" w:hint="eastAsia"/>
          <w:kern w:val="0"/>
          <w:sz w:val="24"/>
          <w:szCs w:val="24"/>
        </w:rPr>
      </w:pPr>
      <w:r w:rsidRPr="001F5F8A">
        <w:rPr>
          <w:rFonts w:ascii="宋体" w:eastAsia="宋体" w:hAnsi="宋体" w:cs="宋体" w:hint="eastAsia"/>
          <w:kern w:val="0"/>
          <w:szCs w:val="21"/>
        </w:rPr>
        <w:t xml:space="preserve">                                            </w:t>
      </w:r>
    </w:p>
    <w:p w:rsidR="001F5F8A" w:rsidRPr="001F5F8A" w:rsidRDefault="001F5F8A" w:rsidP="001F5F8A">
      <w:pPr>
        <w:widowControl/>
        <w:wordWrap w:val="0"/>
        <w:spacing w:line="360" w:lineRule="auto"/>
        <w:ind w:firstLine="420"/>
        <w:rPr>
          <w:rFonts w:ascii="楷体" w:eastAsia="楷体" w:hAnsi="楷体" w:cs="宋体" w:hint="eastAsia"/>
          <w:kern w:val="0"/>
          <w:sz w:val="24"/>
          <w:szCs w:val="24"/>
        </w:rPr>
      </w:pPr>
      <w:r w:rsidRPr="001F5F8A">
        <w:rPr>
          <w:rFonts w:ascii="宋体" w:eastAsia="宋体" w:hAnsi="宋体" w:cs="宋体" w:hint="eastAsia"/>
          <w:kern w:val="0"/>
          <w:szCs w:val="21"/>
        </w:rPr>
        <w:t xml:space="preserve">                                              中国证监会</w:t>
      </w:r>
    </w:p>
    <w:p w:rsidR="001F5F8A" w:rsidRPr="001F5F8A" w:rsidRDefault="001F5F8A" w:rsidP="001F5F8A">
      <w:pPr>
        <w:widowControl/>
        <w:wordWrap w:val="0"/>
        <w:spacing w:line="360" w:lineRule="auto"/>
        <w:ind w:firstLine="420"/>
        <w:rPr>
          <w:rFonts w:ascii="宋体" w:eastAsia="宋体" w:hAnsi="宋体" w:cs="宋体" w:hint="eastAsia"/>
          <w:kern w:val="0"/>
          <w:szCs w:val="21"/>
        </w:rPr>
      </w:pPr>
      <w:r w:rsidRPr="001F5F8A">
        <w:rPr>
          <w:rFonts w:ascii="宋体" w:eastAsia="宋体" w:hAnsi="宋体" w:cs="宋体" w:hint="eastAsia"/>
          <w:kern w:val="0"/>
          <w:szCs w:val="21"/>
        </w:rPr>
        <w:t xml:space="preserve">                                               2016年6月22日 </w:t>
      </w:r>
    </w:p>
    <w:p w:rsidR="001F5F8A" w:rsidRPr="001F5F8A" w:rsidRDefault="001F5F8A" w:rsidP="001F5F8A">
      <w:pPr>
        <w:widowControl/>
        <w:jc w:val="left"/>
        <w:rPr>
          <w:rFonts w:ascii="宋体" w:eastAsia="宋体" w:hAnsi="宋体" w:cs="宋体" w:hint="eastAsia"/>
          <w:kern w:val="0"/>
          <w:sz w:val="24"/>
          <w:szCs w:val="24"/>
        </w:rPr>
      </w:pPr>
    </w:p>
    <w:p w:rsidR="009E7045" w:rsidRDefault="009E7045">
      <w:bookmarkStart w:id="0" w:name="_GoBack"/>
      <w:bookmarkEnd w:id="0"/>
    </w:p>
    <w:sectPr w:rsidR="009E70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8A"/>
    <w:rsid w:val="001F5F8A"/>
    <w:rsid w:val="009E7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64253">
      <w:bodyDiv w:val="1"/>
      <w:marLeft w:val="0"/>
      <w:marRight w:val="0"/>
      <w:marTop w:val="0"/>
      <w:marBottom w:val="0"/>
      <w:divBdr>
        <w:top w:val="none" w:sz="0" w:space="0" w:color="auto"/>
        <w:left w:val="none" w:sz="0" w:space="0" w:color="auto"/>
        <w:bottom w:val="none" w:sz="0" w:space="0" w:color="auto"/>
        <w:right w:val="none" w:sz="0" w:space="0" w:color="auto"/>
      </w:divBdr>
      <w:divsChild>
        <w:div w:id="930891137">
          <w:marLeft w:val="0"/>
          <w:marRight w:val="0"/>
          <w:marTop w:val="0"/>
          <w:marBottom w:val="0"/>
          <w:divBdr>
            <w:top w:val="none" w:sz="0" w:space="0" w:color="auto"/>
            <w:left w:val="none" w:sz="0" w:space="0" w:color="auto"/>
            <w:bottom w:val="none" w:sz="0" w:space="0" w:color="auto"/>
            <w:right w:val="none" w:sz="0" w:space="0" w:color="auto"/>
          </w:divBdr>
          <w:divsChild>
            <w:div w:id="666370883">
              <w:marLeft w:val="0"/>
              <w:marRight w:val="0"/>
              <w:marTop w:val="0"/>
              <w:marBottom w:val="0"/>
              <w:divBdr>
                <w:top w:val="none" w:sz="0" w:space="0" w:color="auto"/>
                <w:left w:val="none" w:sz="0" w:space="0" w:color="auto"/>
                <w:bottom w:val="none" w:sz="0" w:space="0" w:color="auto"/>
                <w:right w:val="none" w:sz="0" w:space="0" w:color="auto"/>
              </w:divBdr>
              <w:divsChild>
                <w:div w:id="1058824136">
                  <w:marLeft w:val="0"/>
                  <w:marRight w:val="0"/>
                  <w:marTop w:val="0"/>
                  <w:marBottom w:val="0"/>
                  <w:divBdr>
                    <w:top w:val="none" w:sz="0" w:space="0" w:color="auto"/>
                    <w:left w:val="none" w:sz="0" w:space="0" w:color="auto"/>
                    <w:bottom w:val="none" w:sz="0" w:space="0" w:color="auto"/>
                    <w:right w:val="none" w:sz="0" w:space="0" w:color="auto"/>
                  </w:divBdr>
                  <w:divsChild>
                    <w:div w:id="926812156">
                      <w:marLeft w:val="0"/>
                      <w:marRight w:val="0"/>
                      <w:marTop w:val="0"/>
                      <w:marBottom w:val="0"/>
                      <w:divBdr>
                        <w:top w:val="none" w:sz="0" w:space="0" w:color="auto"/>
                        <w:left w:val="none" w:sz="0" w:space="0" w:color="auto"/>
                        <w:bottom w:val="none" w:sz="0" w:space="0" w:color="auto"/>
                        <w:right w:val="none" w:sz="0" w:space="0" w:color="auto"/>
                      </w:divBdr>
                    </w:div>
                    <w:div w:id="80297156">
                      <w:marLeft w:val="0"/>
                      <w:marRight w:val="0"/>
                      <w:marTop w:val="0"/>
                      <w:marBottom w:val="0"/>
                      <w:divBdr>
                        <w:top w:val="none" w:sz="0" w:space="0" w:color="auto"/>
                        <w:left w:val="none" w:sz="0" w:space="0" w:color="auto"/>
                        <w:bottom w:val="none" w:sz="0" w:space="0" w:color="auto"/>
                        <w:right w:val="none" w:sz="0" w:space="0" w:color="auto"/>
                      </w:divBdr>
                      <w:divsChild>
                        <w:div w:id="13619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万户网络</dc:creator>
  <cp:lastModifiedBy>万户网络</cp:lastModifiedBy>
  <cp:revision>1</cp:revision>
  <dcterms:created xsi:type="dcterms:W3CDTF">2016-07-26T07:55:00Z</dcterms:created>
  <dcterms:modified xsi:type="dcterms:W3CDTF">2016-07-26T07:55:00Z</dcterms:modified>
</cp:coreProperties>
</file>