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05" w:rsidRPr="00A80605" w:rsidRDefault="00A80605" w:rsidP="00A80605">
      <w:pPr>
        <w:widowControl/>
        <w:spacing w:before="100" w:beforeAutospacing="1" w:after="100" w:afterAutospacing="1"/>
        <w:jc w:val="center"/>
        <w:rPr>
          <w:rFonts w:ascii="宋体" w:eastAsia="宋体" w:hAnsi="宋体" w:cs="宋体"/>
          <w:kern w:val="0"/>
          <w:sz w:val="24"/>
          <w:szCs w:val="24"/>
        </w:rPr>
      </w:pPr>
      <w:r w:rsidRPr="00A80605">
        <w:rPr>
          <w:rFonts w:ascii="黑体" w:eastAsia="黑体" w:hAnsi="黑体" w:cs="宋体" w:hint="eastAsia"/>
          <w:b/>
          <w:bCs/>
          <w:color w:val="FF0000"/>
          <w:kern w:val="0"/>
          <w:sz w:val="36"/>
          <w:szCs w:val="36"/>
        </w:rPr>
        <w:t xml:space="preserve">中国证监会行政处罚决定书（曹玉彬、曹玉军、栾玲） </w:t>
      </w:r>
      <w:r w:rsidRPr="00A80605">
        <w:rPr>
          <w:rFonts w:ascii="宋体" w:eastAsia="宋体" w:hAnsi="宋体" w:cs="宋体"/>
          <w:kern w:val="0"/>
          <w:sz w:val="24"/>
          <w:szCs w:val="24"/>
        </w:rPr>
        <w:br/>
      </w:r>
      <w:r w:rsidRPr="00A80605">
        <w:rPr>
          <w:rFonts w:ascii="宋体" w:eastAsia="宋体" w:hAnsi="宋体" w:cs="宋体"/>
          <w:kern w:val="0"/>
          <w:sz w:val="24"/>
          <w:szCs w:val="24"/>
        </w:rPr>
        <w:br/>
      </w:r>
    </w:p>
    <w:p w:rsidR="00A80605" w:rsidRPr="00A80605" w:rsidRDefault="00A80605" w:rsidP="00A80605">
      <w:pPr>
        <w:widowControl/>
        <w:wordWrap w:val="0"/>
        <w:spacing w:line="360" w:lineRule="auto"/>
        <w:jc w:val="center"/>
        <w:rPr>
          <w:rFonts w:ascii="宋体" w:eastAsia="宋体" w:hAnsi="宋体" w:cs="宋体"/>
          <w:color w:val="000000"/>
          <w:kern w:val="0"/>
          <w:szCs w:val="21"/>
        </w:rPr>
      </w:pPr>
      <w:r w:rsidRPr="00A80605">
        <w:rPr>
          <w:rFonts w:ascii="宋体" w:eastAsia="宋体" w:hAnsi="宋体" w:cs="宋体" w:hint="eastAsia"/>
          <w:color w:val="000000"/>
          <w:kern w:val="0"/>
          <w:szCs w:val="21"/>
        </w:rPr>
        <w:t>〔2016〕117号</w:t>
      </w:r>
    </w:p>
    <w:p w:rsidR="00A80605" w:rsidRPr="00A80605" w:rsidRDefault="00A80605" w:rsidP="00A80605">
      <w:pPr>
        <w:widowControl/>
        <w:wordWrap w:val="0"/>
        <w:snapToGrid w:val="0"/>
        <w:spacing w:line="360" w:lineRule="auto"/>
        <w:jc w:val="left"/>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 xml:space="preserve"> </w:t>
      </w:r>
    </w:p>
    <w:p w:rsidR="00A80605" w:rsidRPr="00A80605" w:rsidRDefault="00A80605" w:rsidP="00A80605">
      <w:pPr>
        <w:widowControl/>
        <w:wordWrap w:val="0"/>
        <w:spacing w:line="360" w:lineRule="auto"/>
        <w:ind w:firstLine="420"/>
        <w:rPr>
          <w:rFonts w:ascii="宋体" w:eastAsia="宋体" w:hAnsi="宋体" w:cs="宋体" w:hint="eastAsia"/>
          <w:kern w:val="0"/>
          <w:szCs w:val="21"/>
        </w:rPr>
      </w:pPr>
      <w:r w:rsidRPr="00A80605">
        <w:rPr>
          <w:rFonts w:ascii="宋体" w:eastAsia="宋体" w:hAnsi="宋体" w:cs="宋体" w:hint="eastAsia"/>
          <w:kern w:val="0"/>
          <w:szCs w:val="21"/>
        </w:rPr>
        <w:t>当事人：曹玉彬，男，1965年2月出生，南山集团有限公司监事（以下简称南山集团），住址：山东省龙口市。</w:t>
      </w:r>
    </w:p>
    <w:p w:rsidR="00A80605" w:rsidRPr="00A80605" w:rsidRDefault="00A80605" w:rsidP="00A80605">
      <w:pPr>
        <w:widowControl/>
        <w:wordWrap w:val="0"/>
        <w:spacing w:line="360" w:lineRule="auto"/>
        <w:ind w:firstLine="420"/>
        <w:rPr>
          <w:rFonts w:ascii="宋体" w:eastAsia="宋体" w:hAnsi="宋体" w:cs="宋体" w:hint="eastAsia"/>
          <w:kern w:val="0"/>
          <w:szCs w:val="21"/>
        </w:rPr>
      </w:pPr>
      <w:r w:rsidRPr="00A80605">
        <w:rPr>
          <w:rFonts w:ascii="宋体" w:eastAsia="宋体" w:hAnsi="宋体" w:cs="宋体" w:hint="eastAsia"/>
          <w:kern w:val="0"/>
          <w:szCs w:val="21"/>
        </w:rPr>
        <w:t>曹玉军，男，1963年4月出生，曹玉彬哥哥，住址：山东省龙口市。</w:t>
      </w:r>
    </w:p>
    <w:p w:rsidR="00A80605" w:rsidRPr="00A80605" w:rsidRDefault="00A80605" w:rsidP="00A80605">
      <w:pPr>
        <w:widowControl/>
        <w:wordWrap w:val="0"/>
        <w:spacing w:line="360" w:lineRule="auto"/>
        <w:ind w:firstLine="420"/>
        <w:rPr>
          <w:rFonts w:ascii="宋体" w:eastAsia="宋体" w:hAnsi="宋体" w:cs="宋体" w:hint="eastAsia"/>
          <w:kern w:val="0"/>
          <w:szCs w:val="21"/>
        </w:rPr>
      </w:pPr>
      <w:r w:rsidRPr="00A80605">
        <w:rPr>
          <w:rFonts w:ascii="宋体" w:eastAsia="宋体" w:hAnsi="宋体" w:cs="宋体" w:hint="eastAsia"/>
          <w:kern w:val="0"/>
          <w:szCs w:val="21"/>
        </w:rPr>
        <w:t>栾玲，女，1966年4月出生，曹玉军配偶，住址：山东省龙口市。</w:t>
      </w:r>
    </w:p>
    <w:p w:rsidR="00A80605" w:rsidRPr="00A80605" w:rsidRDefault="00A80605" w:rsidP="00A80605">
      <w:pPr>
        <w:widowControl/>
        <w:wordWrap w:val="0"/>
        <w:spacing w:line="360" w:lineRule="auto"/>
        <w:ind w:firstLine="420"/>
        <w:rPr>
          <w:rFonts w:ascii="宋体" w:eastAsia="宋体" w:hAnsi="宋体" w:cs="宋体" w:hint="eastAsia"/>
          <w:kern w:val="0"/>
          <w:szCs w:val="21"/>
        </w:rPr>
      </w:pPr>
      <w:r w:rsidRPr="00A80605">
        <w:rPr>
          <w:rFonts w:ascii="宋体" w:eastAsia="宋体" w:hAnsi="宋体" w:cs="宋体" w:hint="eastAsia"/>
          <w:kern w:val="0"/>
          <w:szCs w:val="21"/>
        </w:rPr>
        <w:t>依据《中华人民共和国证券法》（以下简称《证券法》）的有关规定，我会对曹玉彬泄露内幕信息，曹玉军、栾玲内幕交易山东南山铝业股份有限公司（以下简称南山铝业）股票的行为进行了立案调查、审理，依法向当事人告知了</w:t>
      </w:r>
      <w:proofErr w:type="gramStart"/>
      <w:r w:rsidRPr="00A80605">
        <w:rPr>
          <w:rFonts w:ascii="宋体" w:eastAsia="宋体" w:hAnsi="宋体" w:cs="宋体" w:hint="eastAsia"/>
          <w:kern w:val="0"/>
          <w:szCs w:val="21"/>
        </w:rPr>
        <w:t>作出</w:t>
      </w:r>
      <w:proofErr w:type="gramEnd"/>
      <w:r w:rsidRPr="00A80605">
        <w:rPr>
          <w:rFonts w:ascii="宋体" w:eastAsia="宋体" w:hAnsi="宋体" w:cs="宋体" w:hint="eastAsia"/>
          <w:kern w:val="0"/>
          <w:szCs w:val="21"/>
        </w:rPr>
        <w:t>行政处罚的事实、理由、依据及当事人依法享有的权利。当事人未提出陈述、申辩意见，也未要求听证。本案现已调查、审理终结。</w:t>
      </w:r>
    </w:p>
    <w:p w:rsidR="00A80605" w:rsidRPr="00A80605" w:rsidRDefault="00A80605" w:rsidP="00A80605">
      <w:pPr>
        <w:widowControl/>
        <w:wordWrap w:val="0"/>
        <w:spacing w:line="360" w:lineRule="auto"/>
        <w:ind w:firstLine="420"/>
        <w:rPr>
          <w:rFonts w:ascii="宋体" w:eastAsia="宋体" w:hAnsi="宋体" w:cs="宋体" w:hint="eastAsia"/>
          <w:kern w:val="0"/>
          <w:szCs w:val="21"/>
        </w:rPr>
      </w:pPr>
      <w:r w:rsidRPr="00A80605">
        <w:rPr>
          <w:rFonts w:ascii="宋体" w:eastAsia="宋体" w:hAnsi="宋体" w:cs="宋体" w:hint="eastAsia"/>
          <w:kern w:val="0"/>
          <w:szCs w:val="21"/>
        </w:rPr>
        <w:t>经查明，曹玉彬、曹玉军、栾玲存在以下违法事实：</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一、内幕信息形成与公开过程</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2014年6月2日，南山集团和南山铝业分别承诺将在山东怡力电业有限公司（以下简称</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力电业）取得有权部门批复后或者相关法律障碍、风险消除后以合理的价格出售、收购</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力电业电解铝资产。</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2015年8月27日，</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力电业年产20万吨和年产40万吨电解铝生产线项目获得登记备案证明。</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2015年9月17日，国信证券股份有限公司与南山铝业相关人员通过电话会议探讨了上市公司拟购买</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力电业电解</w:t>
      </w:r>
      <w:proofErr w:type="gramStart"/>
      <w:r w:rsidRPr="00A80605">
        <w:rPr>
          <w:rFonts w:ascii="宋体" w:eastAsia="宋体" w:hAnsi="宋体" w:cs="宋体" w:hint="eastAsia"/>
          <w:color w:val="000000"/>
          <w:kern w:val="0"/>
          <w:szCs w:val="21"/>
        </w:rPr>
        <w:t>铝资产</w:t>
      </w:r>
      <w:proofErr w:type="gramEnd"/>
      <w:r w:rsidRPr="00A80605">
        <w:rPr>
          <w:rFonts w:ascii="宋体" w:eastAsia="宋体" w:hAnsi="宋体" w:cs="宋体" w:hint="eastAsia"/>
          <w:color w:val="000000"/>
          <w:kern w:val="0"/>
          <w:szCs w:val="21"/>
        </w:rPr>
        <w:t>及负债的停牌事宜，预期拟注入资产可取得合</w:t>
      </w:r>
      <w:proofErr w:type="gramStart"/>
      <w:r w:rsidRPr="00A80605">
        <w:rPr>
          <w:rFonts w:ascii="宋体" w:eastAsia="宋体" w:hAnsi="宋体" w:cs="宋体" w:hint="eastAsia"/>
          <w:color w:val="000000"/>
          <w:kern w:val="0"/>
          <w:szCs w:val="21"/>
        </w:rPr>
        <w:t>规</w:t>
      </w:r>
      <w:proofErr w:type="gramEnd"/>
      <w:r w:rsidRPr="00A80605">
        <w:rPr>
          <w:rFonts w:ascii="宋体" w:eastAsia="宋体" w:hAnsi="宋体" w:cs="宋体" w:hint="eastAsia"/>
          <w:color w:val="000000"/>
          <w:kern w:val="0"/>
          <w:szCs w:val="21"/>
        </w:rPr>
        <w:t>证明。</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2015年9月18日，南山集团、南山铝业会议确定南山铝业资产收购初步方案。本次会议信息向南山铝业、南山集团董事、监事、高级管理人员等相关人员做了传达。曹玉彬等31人签署了内幕信息知情人备案登记表。</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2015年9月28日，南山铝业向上海证券交易所申请自9月29日起停牌。11月12日，南山铝业发布关于发行股份购买资产事项继续停牌公告，公告本次交易涉及的标的资产为</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力电业电解铝资产。</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lastRenderedPageBreak/>
        <w:t>在</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力电业电解</w:t>
      </w:r>
      <w:proofErr w:type="gramStart"/>
      <w:r w:rsidRPr="00A80605">
        <w:rPr>
          <w:rFonts w:ascii="宋体" w:eastAsia="宋体" w:hAnsi="宋体" w:cs="宋体" w:hint="eastAsia"/>
          <w:color w:val="000000"/>
          <w:kern w:val="0"/>
          <w:szCs w:val="21"/>
        </w:rPr>
        <w:t>铝资产</w:t>
      </w:r>
      <w:proofErr w:type="gramEnd"/>
      <w:r w:rsidRPr="00A80605">
        <w:rPr>
          <w:rFonts w:ascii="宋体" w:eastAsia="宋体" w:hAnsi="宋体" w:cs="宋体" w:hint="eastAsia"/>
          <w:color w:val="000000"/>
          <w:kern w:val="0"/>
          <w:szCs w:val="21"/>
        </w:rPr>
        <w:t>取得备案证明、拟注入其他资产预期可取得合</w:t>
      </w:r>
      <w:proofErr w:type="gramStart"/>
      <w:r w:rsidRPr="00A80605">
        <w:rPr>
          <w:rFonts w:ascii="宋体" w:eastAsia="宋体" w:hAnsi="宋体" w:cs="宋体" w:hint="eastAsia"/>
          <w:color w:val="000000"/>
          <w:kern w:val="0"/>
          <w:szCs w:val="21"/>
        </w:rPr>
        <w:t>规</w:t>
      </w:r>
      <w:proofErr w:type="gramEnd"/>
      <w:r w:rsidRPr="00A80605">
        <w:rPr>
          <w:rFonts w:ascii="宋体" w:eastAsia="宋体" w:hAnsi="宋体" w:cs="宋体" w:hint="eastAsia"/>
          <w:color w:val="000000"/>
          <w:kern w:val="0"/>
          <w:szCs w:val="21"/>
        </w:rPr>
        <w:t>证明的前提下，南山铝业与南山集团2015年9月18日会议确定资产收购初步方案。2015年11月12日公告收购标的资产是</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力电业电解铝资产。“南山铝业启动购买</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力电业资产”的内幕信息不晚于2015年9月18日形成，公开于11月12日。</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二、曹玉彬泄露内幕信息</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曹玉彬时任南山铝业控股股东南山集团监事，是内幕信息法定知情人，因职务便利于9月18日获知上述内幕信息，并签署了内幕信息知情人备案登记表。曹玉彬、曹玉军、栾玲在2015年9月18日至11月12日期间多次电话联系，曹玉军、栾玲在此期间内大量买入“南山铝业”，交易行为明显异常。综上所述，曹玉彬向曹玉军、栾玲泄露了内幕信息。</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三、曹玉军、栾玲内幕交易“南山铝业”</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（一）“栾玲”、“傅某燕”证券账户实际控制人情况</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“栾玲”证券账户2006年6月开立于齐鲁证券有限公司龙口环城北路证券营业部（齐鲁证券有限公司现已更名为中泰证券股份有限公司），资金账号为5357××××0310。</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“傅某燕”（栾玲哥哥的配偶）证券账户2007年8月开立于中泰证券股份有限公司龙口环城北路营业部，资金账号为5357××××6222。</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“栾玲”、“傅某燕”证券账户实际由曹玉军、栾玲共同控制。</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 xml:space="preserve">（二）“栾玲”、“傅某燕”证券账户交易“南山铝业”情况  </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“栾玲”证券账户在2015年9月23日、25日、28日分别买入“南山铝业”30,000股、10,000股、169,000股，买入金额共计1,370,915元，2016年3月9日、15日分别卖出100,000股、109,000股，扣除交易费用，账户获利34,365.4元。</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“傅某燕”证券账户2015年9月28日买入“南山铝业”595,435股，买入金额3,850,853.8元，2016年2月29日全部卖出，扣除交易费用，账户亏损319.99元。</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综上所述，“栾玲”、“傅某燕”证券账户共计买入804,435股“南山铝业”，买入金额5,221,768.8元。复牌后全部卖出，卖出金额5,265,196.2元。扣除交易费用，获利34,045.41元。</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（三）“栾玲”、“傅某燕”证券账户资金来源情况</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“栾玲”证券账户资金来源于曹玉军和栾玲家庭资金。</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“傅某燕”证券账户资金来源于曹玉军和栾玲家庭资金。近2年净转入3,952,255元，其中2015年9月28日转入3,710,755元，占比94%。经查，该笔资金于2015年9月28日</w:t>
      </w:r>
      <w:r w:rsidRPr="00A80605">
        <w:rPr>
          <w:rFonts w:ascii="宋体" w:eastAsia="宋体" w:hAnsi="宋体" w:cs="宋体" w:hint="eastAsia"/>
          <w:color w:val="000000"/>
          <w:kern w:val="0"/>
          <w:szCs w:val="21"/>
        </w:rPr>
        <w:lastRenderedPageBreak/>
        <w:t>从曹玉军尚未到期的五年期银行存单中取出，现金存入栾玲银行账户后转至</w:t>
      </w:r>
      <w:proofErr w:type="gramStart"/>
      <w:r w:rsidRPr="00A80605">
        <w:rPr>
          <w:rFonts w:ascii="宋体" w:eastAsia="宋体" w:hAnsi="宋体" w:cs="宋体" w:hint="eastAsia"/>
          <w:color w:val="000000"/>
          <w:kern w:val="0"/>
          <w:szCs w:val="21"/>
        </w:rPr>
        <w:t>傅某燕三</w:t>
      </w:r>
      <w:proofErr w:type="gramEnd"/>
      <w:r w:rsidRPr="00A80605">
        <w:rPr>
          <w:rFonts w:ascii="宋体" w:eastAsia="宋体" w:hAnsi="宋体" w:cs="宋体" w:hint="eastAsia"/>
          <w:color w:val="000000"/>
          <w:kern w:val="0"/>
          <w:szCs w:val="21"/>
        </w:rPr>
        <w:t>方存管账户，随即银证转入“傅某燕”证券账户，全部买入“南山铝业”股票。</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（四）“栾玲”、“傅某燕”证券账户交易特征分析</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2015年9月18日至11月12日期间，“栾玲”证券账户于9月23日、25日、28日分别买入“南山铝业”30,000股、10,000股、169,000股，买入金额共计1,370,915元。停牌前一日交易量明显放大，且在账户资金余额不足情况下，亏损卖出“钱江摩托”、“华录百纳”、“鸿利光电”等股票。“栾玲”证券账户交易时间与曹玉彬、曹玉军、栾玲通话时间高度吻合，交易行为明显异常。</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傅某燕”证券账户2014年以来从未交易过“南山铝业”，在2015年9月18日至11月12日期间内，停牌前一日突击转入3,710,755元资金，该笔资金来源于曹玉军尚未到期的银行存单，买入“南山铝业”595,435股，买入金额3,850,853.8元。“傅某燕”证券账户交易时间与曹玉彬、曹玉军、栾玲通话时间高度吻合，资金转入和交易行为明显异常。</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以上事实，有南山铝业公告，内幕信息知情人档案，相关当事人询问笔录、通话记录，相关当事人证券账户资料、交易流水、银行账户资料等证据证明，足以认定。</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我会认为，南山铝业公告</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力电业资产包预估值70.13亿元，交易金额70亿元，占南山铝业2014年</w:t>
      </w:r>
      <w:proofErr w:type="gramStart"/>
      <w:r w:rsidRPr="00A80605">
        <w:rPr>
          <w:rFonts w:ascii="宋体" w:eastAsia="宋体" w:hAnsi="宋体" w:cs="宋体" w:hint="eastAsia"/>
          <w:color w:val="000000"/>
          <w:kern w:val="0"/>
          <w:szCs w:val="21"/>
        </w:rPr>
        <w:t>末经</w:t>
      </w:r>
      <w:proofErr w:type="gramEnd"/>
      <w:r w:rsidRPr="00A80605">
        <w:rPr>
          <w:rFonts w:ascii="宋体" w:eastAsia="宋体" w:hAnsi="宋体" w:cs="宋体" w:hint="eastAsia"/>
          <w:color w:val="000000"/>
          <w:kern w:val="0"/>
          <w:szCs w:val="21"/>
        </w:rPr>
        <w:t>审计净资产的38.62%，属于《证券法》第六十七条第二款第二项规定的“公司的重大投资行为和重大的购置财产的决定”，构成内幕信息。2015年9月18日，南山集团、南山铝业会议确定南山铝业资产收购初步方案，内幕信息形成时间不晚于2015年9月18日。2015年11月12日，南山铝业公告收购</w:t>
      </w:r>
      <w:proofErr w:type="gramStart"/>
      <w:r w:rsidRPr="00A80605">
        <w:rPr>
          <w:rFonts w:ascii="宋体" w:eastAsia="宋体" w:hAnsi="宋体" w:cs="宋体" w:hint="eastAsia"/>
          <w:color w:val="000000"/>
          <w:kern w:val="0"/>
          <w:szCs w:val="21"/>
        </w:rPr>
        <w:t>怡</w:t>
      </w:r>
      <w:proofErr w:type="gramEnd"/>
      <w:r w:rsidRPr="00A80605">
        <w:rPr>
          <w:rFonts w:ascii="宋体" w:eastAsia="宋体" w:hAnsi="宋体" w:cs="宋体" w:hint="eastAsia"/>
          <w:color w:val="000000"/>
          <w:kern w:val="0"/>
          <w:szCs w:val="21"/>
        </w:rPr>
        <w:t>力电业资产，内幕信息公开。曹玉彬作为南山铝业控股股东南山集团的监事，签署了内幕信息知情人备案登记表，是内幕信息法定知情人，知悉时间为2015年9月18日。在2015年9月18日至11月12日期间，曹玉彬多次与其兄曹玉军电话联络，曹玉军和栾玲从事了交易金额巨大的内幕交易。曹玉彬的上述行为违反了《证券法》第七十六条第一款的规定，构成《证券法》第二百零二条所述泄露内幕信息行为。</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曹玉军、栾玲作为内幕信息知情人曹玉彬的关系密切人员，在2015年9月18日至11月12日期间，资金转入证券账户明显异常，交易量明显放大，交易时间与内幕信息形成、强化时间一致，与曹玉彬、曹玉军、栾玲通话时间高度吻合，交易行为明显异常。曹玉军、栾玲的上述行为违反了《证券法》第七十三条、第七十六条第一款的规定，构成《证券法》第二百零二条所述内幕交易行为。</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lastRenderedPageBreak/>
        <w:t>根据当事人违法行为的事实、性质、情节与社会危害程度，依据《证券法》第二百零二条的规定，我会决定：</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一、对曹玉彬处以10万元罚款。</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二、没收曹玉军、栾玲内幕交易违法所得34,045.41元，并处以102,136.23元罚款。</w:t>
      </w:r>
    </w:p>
    <w:p w:rsidR="00A80605" w:rsidRPr="00A80605" w:rsidRDefault="00A80605" w:rsidP="00A80605">
      <w:pPr>
        <w:widowControl/>
        <w:wordWrap w:val="0"/>
        <w:spacing w:line="360" w:lineRule="auto"/>
        <w:ind w:firstLine="420"/>
        <w:rPr>
          <w:rFonts w:ascii="宋体" w:eastAsia="宋体" w:hAnsi="宋体" w:cs="宋体" w:hint="eastAsia"/>
          <w:color w:val="000000"/>
          <w:kern w:val="0"/>
          <w:szCs w:val="21"/>
        </w:rPr>
      </w:pPr>
      <w:r w:rsidRPr="00A80605">
        <w:rPr>
          <w:rFonts w:ascii="宋体" w:eastAsia="宋体" w:hAnsi="宋体" w:cs="宋体" w:hint="eastAsia"/>
          <w:color w:val="000000"/>
          <w:kern w:val="0"/>
          <w:szCs w:val="21"/>
        </w:rPr>
        <w:t>上述当事人应自收到本处罚决定书之日起15日内，将罚没款汇交中国证券监督管理委员会（开户银行：中信银行总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rsidR="00A80605" w:rsidRPr="00A80605" w:rsidRDefault="00A80605" w:rsidP="00A80605">
      <w:pPr>
        <w:widowControl/>
        <w:wordWrap w:val="0"/>
        <w:spacing w:line="360" w:lineRule="auto"/>
        <w:jc w:val="left"/>
        <w:rPr>
          <w:rFonts w:ascii="宋体" w:eastAsia="宋体" w:hAnsi="宋体" w:cs="宋体" w:hint="eastAsia"/>
          <w:kern w:val="0"/>
          <w:szCs w:val="21"/>
        </w:rPr>
      </w:pPr>
      <w:r w:rsidRPr="00A80605">
        <w:rPr>
          <w:rFonts w:ascii="宋体" w:eastAsia="宋体" w:hAnsi="宋体" w:cs="宋体" w:hint="eastAsia"/>
          <w:kern w:val="0"/>
          <w:szCs w:val="21"/>
        </w:rPr>
        <w:t xml:space="preserve"> </w:t>
      </w:r>
    </w:p>
    <w:p w:rsidR="00A80605" w:rsidRPr="00A80605" w:rsidRDefault="00A80605" w:rsidP="00A80605">
      <w:pPr>
        <w:widowControl/>
        <w:wordWrap w:val="0"/>
        <w:spacing w:line="360" w:lineRule="auto"/>
        <w:jc w:val="left"/>
        <w:rPr>
          <w:rFonts w:ascii="宋体" w:eastAsia="宋体" w:hAnsi="宋体" w:cs="宋体" w:hint="eastAsia"/>
          <w:kern w:val="0"/>
          <w:szCs w:val="21"/>
        </w:rPr>
      </w:pPr>
      <w:r w:rsidRPr="00A80605">
        <w:rPr>
          <w:rFonts w:ascii="宋体" w:eastAsia="宋体" w:hAnsi="宋体" w:cs="宋体" w:hint="eastAsia"/>
          <w:kern w:val="0"/>
          <w:szCs w:val="21"/>
        </w:rPr>
        <w:t xml:space="preserve"> </w:t>
      </w:r>
    </w:p>
    <w:p w:rsidR="00A80605" w:rsidRPr="00A80605" w:rsidRDefault="00A80605" w:rsidP="00A80605">
      <w:pPr>
        <w:widowControl/>
        <w:wordWrap w:val="0"/>
        <w:spacing w:line="360" w:lineRule="auto"/>
        <w:jc w:val="left"/>
        <w:rPr>
          <w:rFonts w:ascii="宋体" w:eastAsia="宋体" w:hAnsi="宋体" w:cs="宋体" w:hint="eastAsia"/>
          <w:kern w:val="0"/>
          <w:szCs w:val="21"/>
        </w:rPr>
      </w:pPr>
      <w:r w:rsidRPr="00A80605">
        <w:rPr>
          <w:rFonts w:ascii="宋体" w:eastAsia="宋体" w:hAnsi="宋体" w:cs="宋体" w:hint="eastAsia"/>
          <w:kern w:val="0"/>
          <w:szCs w:val="21"/>
        </w:rPr>
        <w:t xml:space="preserve"> </w:t>
      </w:r>
    </w:p>
    <w:p w:rsidR="00A80605" w:rsidRPr="00A80605" w:rsidRDefault="00A80605" w:rsidP="00A80605">
      <w:pPr>
        <w:widowControl/>
        <w:wordWrap w:val="0"/>
        <w:snapToGrid w:val="0"/>
        <w:spacing w:line="360" w:lineRule="auto"/>
        <w:jc w:val="left"/>
        <w:rPr>
          <w:rFonts w:ascii="宋体" w:eastAsia="宋体" w:hAnsi="宋体" w:cs="宋体" w:hint="eastAsia"/>
          <w:kern w:val="0"/>
          <w:szCs w:val="21"/>
        </w:rPr>
      </w:pPr>
      <w:r w:rsidRPr="00A80605">
        <w:rPr>
          <w:rFonts w:ascii="宋体" w:eastAsia="宋体" w:hAnsi="宋体" w:cs="宋体" w:hint="eastAsia"/>
          <w:kern w:val="0"/>
          <w:szCs w:val="21"/>
        </w:rPr>
        <w:t xml:space="preserve"> </w:t>
      </w:r>
    </w:p>
    <w:p w:rsidR="00A80605" w:rsidRPr="00A80605" w:rsidRDefault="00A80605" w:rsidP="00A80605">
      <w:pPr>
        <w:widowControl/>
        <w:wordWrap w:val="0"/>
        <w:snapToGrid w:val="0"/>
        <w:spacing w:line="360" w:lineRule="auto"/>
        <w:jc w:val="right"/>
        <w:rPr>
          <w:rFonts w:ascii="宋体" w:eastAsia="宋体" w:hAnsi="宋体" w:cs="宋体" w:hint="eastAsia"/>
          <w:kern w:val="0"/>
          <w:szCs w:val="21"/>
        </w:rPr>
      </w:pPr>
      <w:r w:rsidRPr="00A80605">
        <w:rPr>
          <w:rFonts w:ascii="宋体" w:eastAsia="宋体" w:hAnsi="宋体" w:cs="宋体" w:hint="eastAsia"/>
          <w:kern w:val="0"/>
          <w:szCs w:val="21"/>
        </w:rPr>
        <w:t xml:space="preserve">中国证监会      </w:t>
      </w:r>
    </w:p>
    <w:p w:rsidR="00A80605" w:rsidRPr="00A80605" w:rsidRDefault="00A80605" w:rsidP="00A80605">
      <w:pPr>
        <w:widowControl/>
        <w:wordWrap w:val="0"/>
        <w:spacing w:line="360" w:lineRule="auto"/>
        <w:jc w:val="right"/>
        <w:rPr>
          <w:rFonts w:ascii="楷体" w:eastAsia="楷体" w:hAnsi="楷体" w:cs="宋体" w:hint="eastAsia"/>
          <w:kern w:val="0"/>
          <w:sz w:val="24"/>
          <w:szCs w:val="24"/>
        </w:rPr>
      </w:pPr>
      <w:r w:rsidRPr="00A80605">
        <w:rPr>
          <w:rFonts w:ascii="宋体" w:eastAsia="宋体" w:hAnsi="宋体" w:cs="宋体" w:hint="eastAsia"/>
          <w:kern w:val="0"/>
          <w:szCs w:val="21"/>
        </w:rPr>
        <w:t>2016年10月25日</w:t>
      </w:r>
    </w:p>
    <w:p w:rsidR="004C43C3" w:rsidRDefault="004C43C3">
      <w:bookmarkStart w:id="0" w:name="_GoBack"/>
      <w:bookmarkEnd w:id="0"/>
    </w:p>
    <w:sectPr w:rsidR="004C4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05"/>
    <w:rsid w:val="000312D4"/>
    <w:rsid w:val="00150CCB"/>
    <w:rsid w:val="003164AA"/>
    <w:rsid w:val="003B1182"/>
    <w:rsid w:val="004C43C3"/>
    <w:rsid w:val="00525362"/>
    <w:rsid w:val="006952C5"/>
    <w:rsid w:val="009721BC"/>
    <w:rsid w:val="00A73131"/>
    <w:rsid w:val="00A80605"/>
    <w:rsid w:val="00BF31DC"/>
    <w:rsid w:val="00C46539"/>
    <w:rsid w:val="00D94200"/>
    <w:rsid w:val="00DE1CF9"/>
    <w:rsid w:val="00EE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4380">
      <w:bodyDiv w:val="1"/>
      <w:marLeft w:val="0"/>
      <w:marRight w:val="0"/>
      <w:marTop w:val="0"/>
      <w:marBottom w:val="0"/>
      <w:divBdr>
        <w:top w:val="none" w:sz="0" w:space="0" w:color="auto"/>
        <w:left w:val="none" w:sz="0" w:space="0" w:color="auto"/>
        <w:bottom w:val="none" w:sz="0" w:space="0" w:color="auto"/>
        <w:right w:val="none" w:sz="0" w:space="0" w:color="auto"/>
      </w:divBdr>
      <w:divsChild>
        <w:div w:id="282345003">
          <w:marLeft w:val="0"/>
          <w:marRight w:val="0"/>
          <w:marTop w:val="0"/>
          <w:marBottom w:val="0"/>
          <w:divBdr>
            <w:top w:val="none" w:sz="0" w:space="0" w:color="auto"/>
            <w:left w:val="none" w:sz="0" w:space="0" w:color="auto"/>
            <w:bottom w:val="none" w:sz="0" w:space="0" w:color="auto"/>
            <w:right w:val="none" w:sz="0" w:space="0" w:color="auto"/>
          </w:divBdr>
          <w:divsChild>
            <w:div w:id="1228762787">
              <w:marLeft w:val="0"/>
              <w:marRight w:val="0"/>
              <w:marTop w:val="0"/>
              <w:marBottom w:val="0"/>
              <w:divBdr>
                <w:top w:val="none" w:sz="0" w:space="0" w:color="auto"/>
                <w:left w:val="none" w:sz="0" w:space="0" w:color="auto"/>
                <w:bottom w:val="none" w:sz="0" w:space="0" w:color="auto"/>
                <w:right w:val="none" w:sz="0" w:space="0" w:color="auto"/>
              </w:divBdr>
              <w:divsChild>
                <w:div w:id="32124272">
                  <w:marLeft w:val="0"/>
                  <w:marRight w:val="0"/>
                  <w:marTop w:val="0"/>
                  <w:marBottom w:val="0"/>
                  <w:divBdr>
                    <w:top w:val="none" w:sz="0" w:space="0" w:color="auto"/>
                    <w:left w:val="none" w:sz="0" w:space="0" w:color="auto"/>
                    <w:bottom w:val="none" w:sz="0" w:space="0" w:color="auto"/>
                    <w:right w:val="none" w:sz="0" w:space="0" w:color="auto"/>
                  </w:divBdr>
                  <w:divsChild>
                    <w:div w:id="618536358">
                      <w:marLeft w:val="0"/>
                      <w:marRight w:val="0"/>
                      <w:marTop w:val="0"/>
                      <w:marBottom w:val="0"/>
                      <w:divBdr>
                        <w:top w:val="none" w:sz="0" w:space="0" w:color="auto"/>
                        <w:left w:val="none" w:sz="0" w:space="0" w:color="auto"/>
                        <w:bottom w:val="none" w:sz="0" w:space="0" w:color="auto"/>
                        <w:right w:val="none" w:sz="0" w:space="0" w:color="auto"/>
                      </w:divBdr>
                    </w:div>
                    <w:div w:id="1630085649">
                      <w:marLeft w:val="0"/>
                      <w:marRight w:val="0"/>
                      <w:marTop w:val="0"/>
                      <w:marBottom w:val="0"/>
                      <w:divBdr>
                        <w:top w:val="none" w:sz="0" w:space="0" w:color="auto"/>
                        <w:left w:val="none" w:sz="0" w:space="0" w:color="auto"/>
                        <w:bottom w:val="none" w:sz="0" w:space="0" w:color="auto"/>
                        <w:right w:val="none" w:sz="0" w:space="0" w:color="auto"/>
                      </w:divBdr>
                      <w:divsChild>
                        <w:div w:id="1907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张燕</dc:creator>
  <cp:lastModifiedBy>张燕</cp:lastModifiedBy>
  <cp:revision>1</cp:revision>
  <dcterms:created xsi:type="dcterms:W3CDTF">2016-11-03T08:43:00Z</dcterms:created>
  <dcterms:modified xsi:type="dcterms:W3CDTF">2016-11-03T08:43:00Z</dcterms:modified>
</cp:coreProperties>
</file>